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CCEBE">
      <w:pPr>
        <w:spacing w:line="540" w:lineRule="exact"/>
        <w:contextualSpacing/>
        <w:jc w:val="left"/>
        <w:rPr>
          <w:rFonts w:ascii="黑体" w:hAnsi="黑体" w:eastAsia="黑体"/>
          <w:sz w:val="32"/>
          <w:szCs w:val="32"/>
        </w:rPr>
      </w:pPr>
      <w:r>
        <w:rPr>
          <w:rFonts w:hint="eastAsia" w:ascii="黑体" w:hAnsi="黑体" w:eastAsia="黑体"/>
          <w:sz w:val="32"/>
          <w:szCs w:val="32"/>
        </w:rPr>
        <w:t>附件1</w:t>
      </w:r>
    </w:p>
    <w:p w14:paraId="52ABA994">
      <w:pPr>
        <w:spacing w:line="540" w:lineRule="exact"/>
        <w:contextualSpacing/>
        <w:jc w:val="center"/>
        <w:rPr>
          <w:rFonts w:ascii="方正小标宋简体" w:hAnsi="黑体" w:eastAsia="方正小标宋简体"/>
          <w:sz w:val="44"/>
          <w:szCs w:val="44"/>
        </w:rPr>
      </w:pPr>
      <w:r>
        <w:rPr>
          <w:rFonts w:hint="eastAsia" w:ascii="方正小标宋简体" w:hAnsi="黑体" w:eastAsia="方正小标宋简体"/>
          <w:sz w:val="44"/>
          <w:szCs w:val="44"/>
          <w:lang w:val="en-US" w:eastAsia="zh-CN"/>
        </w:rPr>
        <w:t>福建丝路海运</w:t>
      </w:r>
      <w:r>
        <w:rPr>
          <w:rFonts w:hint="eastAsia" w:ascii="方正小标宋简体" w:hAnsi="黑体" w:eastAsia="方正小标宋简体"/>
          <w:sz w:val="44"/>
          <w:szCs w:val="44"/>
        </w:rPr>
        <w:t>基金管理机构</w:t>
      </w:r>
    </w:p>
    <w:p w14:paraId="6BE7682D">
      <w:pPr>
        <w:spacing w:line="540" w:lineRule="exact"/>
        <w:contextualSpacing/>
        <w:jc w:val="center"/>
        <w:rPr>
          <w:rFonts w:ascii="方正小标宋简体" w:hAnsi="黑体" w:eastAsia="方正小标宋简体"/>
          <w:sz w:val="44"/>
          <w:szCs w:val="44"/>
        </w:rPr>
      </w:pPr>
      <w:r>
        <w:rPr>
          <w:rFonts w:hint="eastAsia" w:ascii="方正小标宋简体" w:hAnsi="黑体" w:eastAsia="方正小标宋简体"/>
          <w:sz w:val="44"/>
          <w:szCs w:val="44"/>
        </w:rPr>
        <w:t>申请材料清单</w:t>
      </w:r>
    </w:p>
    <w:p w14:paraId="00BBF3C6">
      <w:pPr>
        <w:spacing w:line="540" w:lineRule="exact"/>
        <w:contextualSpacing/>
        <w:jc w:val="center"/>
        <w:rPr>
          <w:rFonts w:ascii="黑体" w:hAnsi="黑体" w:eastAsia="黑体"/>
          <w:sz w:val="36"/>
          <w:szCs w:val="36"/>
        </w:rPr>
      </w:pPr>
    </w:p>
    <w:p w14:paraId="7DD03F67">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jc w:val="left"/>
        <w:textAlignment w:val="auto"/>
        <w:rPr>
          <w:rFonts w:ascii="黑体" w:hAnsi="黑体" w:eastAsia="黑体"/>
          <w:color w:val="000000" w:themeColor="text1"/>
          <w:sz w:val="32"/>
          <w:szCs w:val="32"/>
          <w14:textFill>
            <w14:solidFill>
              <w14:schemeClr w14:val="tx1"/>
            </w14:solidFill>
          </w14:textFill>
        </w:rPr>
      </w:pPr>
      <w:r>
        <w:rPr>
          <w:rFonts w:ascii="黑体" w:hAnsi="黑体" w:eastAsia="黑体"/>
          <w:color w:val="000000" w:themeColor="text1"/>
          <w:sz w:val="32"/>
          <w:szCs w:val="32"/>
          <w14:textFill>
            <w14:solidFill>
              <w14:schemeClr w14:val="tx1"/>
            </w14:solidFill>
          </w14:textFill>
        </w:rPr>
        <w:t>一</w:t>
      </w:r>
      <w:r>
        <w:rPr>
          <w:rFonts w:hint="eastAsia" w:ascii="黑体" w:hAnsi="黑体" w:eastAsia="黑体"/>
          <w:color w:val="000000" w:themeColor="text1"/>
          <w:sz w:val="32"/>
          <w:szCs w:val="32"/>
          <w14:textFill>
            <w14:solidFill>
              <w14:schemeClr w14:val="tx1"/>
            </w14:solidFill>
          </w14:textFill>
        </w:rPr>
        <w:t>、拟组建基金方案（核心条款）</w:t>
      </w:r>
    </w:p>
    <w:p w14:paraId="57F00078">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ascii="仿宋" w:hAnsi="仿宋" w:eastAsia="仿宋"/>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拟组建基金方案内容包括但不限于基金名称、组织形式、认缴规模、资金拼盘、存续期、投资方向、管理费、收益分配、返投比例、储备项目（允许不体现项目名称）等。</w:t>
      </w:r>
    </w:p>
    <w:p w14:paraId="6360617C">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w:t>
      </w:r>
      <w:r>
        <w:rPr>
          <w:rFonts w:ascii="黑体" w:hAnsi="黑体" w:eastAsia="黑体"/>
          <w:color w:val="000000" w:themeColor="text1"/>
          <w:sz w:val="32"/>
          <w:szCs w:val="32"/>
          <w14:textFill>
            <w14:solidFill>
              <w14:schemeClr w14:val="tx1"/>
            </w14:solidFill>
          </w14:textFill>
        </w:rPr>
        <w:t>基金申报管理机构基本</w:t>
      </w:r>
      <w:r>
        <w:rPr>
          <w:rFonts w:hint="eastAsia" w:ascii="黑体" w:hAnsi="黑体" w:eastAsia="黑体"/>
          <w:color w:val="000000" w:themeColor="text1"/>
          <w:sz w:val="32"/>
          <w:szCs w:val="32"/>
          <w14:textFill>
            <w14:solidFill>
              <w14:schemeClr w14:val="tx1"/>
            </w14:solidFill>
          </w14:textFill>
        </w:rPr>
        <w:t>情况</w:t>
      </w:r>
    </w:p>
    <w:p w14:paraId="2FC5B712">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（一）管理机构的基本情况</w:t>
      </w:r>
    </w:p>
    <w:p w14:paraId="561A738B">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1.基本概况</w:t>
      </w:r>
      <w:r>
        <w:rPr>
          <w:rFonts w:hint="eastAsia" w:ascii="仿宋_GB2312" w:hAnsi="仿宋_GB2312" w:eastAsia="仿宋_GB2312" w:cs="仿宋_GB2312"/>
          <w:b/>
          <w:bC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机构名称、注册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与实缴</w:t>
      </w:r>
      <w:r>
        <w:rPr>
          <w:rFonts w:hint="eastAsia" w:ascii="仿宋_GB2312" w:hAnsi="仿宋_GB2312" w:eastAsia="仿宋_GB2312" w:cs="仿宋_GB2312"/>
          <w:color w:val="000000" w:themeColor="text1"/>
          <w:sz w:val="32"/>
          <w:szCs w:val="32"/>
          <w14:textFill>
            <w14:solidFill>
              <w14:schemeClr w14:val="tx1"/>
            </w14:solidFill>
          </w14:textFill>
        </w:rPr>
        <w:t>资本、品牌影响力、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取得荣誉</w:t>
      </w:r>
      <w:r>
        <w:rPr>
          <w:rFonts w:hint="eastAsia" w:ascii="仿宋_GB2312" w:hAnsi="仿宋_GB2312" w:eastAsia="仿宋_GB2312" w:cs="仿宋_GB2312"/>
          <w:color w:val="000000" w:themeColor="text1"/>
          <w:sz w:val="32"/>
          <w:szCs w:val="32"/>
          <w14:textFill>
            <w14:solidFill>
              <w14:schemeClr w14:val="tx1"/>
            </w14:solidFill>
          </w14:textFill>
        </w:rPr>
        <w:t>等基本信息</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7D39A76B">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现有</w:t>
      </w:r>
      <w:r>
        <w:rPr>
          <w:rFonts w:hint="eastAsia" w:ascii="仿宋_GB2312" w:hAnsi="仿宋_GB2312" w:eastAsia="仿宋_GB2312" w:cs="仿宋_GB2312"/>
          <w:color w:val="000000" w:themeColor="text1"/>
          <w:sz w:val="32"/>
          <w:szCs w:val="32"/>
          <w14:textFill>
            <w14:solidFill>
              <w14:schemeClr w14:val="tx1"/>
            </w14:solidFill>
          </w14:textFill>
        </w:rPr>
        <w:t>股东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基本情况介绍，如：具有</w:t>
      </w:r>
      <w:r>
        <w:rPr>
          <w:rFonts w:hint="eastAsia" w:ascii="仿宋_GB2312" w:hAnsi="仿宋_GB2312" w:eastAsia="仿宋_GB2312" w:cs="仿宋_GB2312"/>
          <w:color w:val="000000" w:themeColor="text1"/>
          <w:sz w:val="32"/>
          <w:szCs w:val="32"/>
          <w14:textFill>
            <w14:solidFill>
              <w14:schemeClr w14:val="tx1"/>
            </w14:solidFill>
          </w14:textFill>
        </w:rPr>
        <w:t>国资出资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背景。</w:t>
      </w:r>
    </w:p>
    <w:p w14:paraId="2D790536">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14:textFill>
            <w14:solidFill>
              <w14:schemeClr w14:val="tx1"/>
            </w14:solidFill>
          </w14:textFill>
        </w:rPr>
        <w:t>.组织架构及人员配置情况</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14:paraId="55D297B7">
      <w:pPr>
        <w:spacing w:line="540" w:lineRule="exact"/>
        <w:ind w:firstLine="640" w:firstLineChars="200"/>
        <w:contextualSpacing/>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4.曾投资于</w:t>
      </w:r>
      <w:r>
        <w:rPr>
          <w:rFonts w:hint="eastAsia" w:ascii="仿宋_GB2312" w:hAnsi="仿宋_GB2312" w:eastAsia="仿宋_GB2312" w:cs="仿宋_GB2312"/>
          <w:sz w:val="32"/>
          <w:szCs w:val="32"/>
          <w:lang w:val="en-US" w:eastAsia="zh-CN"/>
        </w:rPr>
        <w:t>船舶运力</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船舶修造</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港口科技</w:t>
      </w:r>
      <w:r>
        <w:rPr>
          <w:rFonts w:hint="eastAsia" w:ascii="仿宋_GB2312" w:hAnsi="仿宋_GB2312" w:eastAsia="仿宋_GB2312" w:cs="仿宋_GB2312"/>
          <w:sz w:val="32"/>
          <w:szCs w:val="32"/>
          <w:highlight w:val="none"/>
          <w:lang w:val="en-US" w:eastAsia="zh-CN"/>
        </w:rPr>
        <w:t>等海洋经济领域的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企业情况。</w:t>
      </w:r>
    </w:p>
    <w:p w14:paraId="7FFFD60B">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（二）拟组建基金的投资管理团队情况</w:t>
      </w:r>
    </w:p>
    <w:p w14:paraId="15FCFC37">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1.投资管理团队组织架构</w:t>
      </w:r>
    </w:p>
    <w:p w14:paraId="2CB7DAFE">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2.主要投资管理团队</w:t>
      </w:r>
    </w:p>
    <w:p w14:paraId="236FC2C5">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（1）主要团队成员简介（包括但不限于成员姓名、工作履历、从业资格、投资案例等,管理团队中至少有3名具备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年以上投资管理工作经验的专职高级管理人员）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AA14B70">
      <w:pPr>
        <w:spacing w:line="54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（2）高级管理人员与核心团队</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均须具有基金从业资格。</w:t>
      </w:r>
    </w:p>
    <w:p w14:paraId="34BD64E0">
      <w:pPr>
        <w:spacing w:line="540" w:lineRule="exact"/>
        <w:ind w:firstLine="640" w:firstLineChars="200"/>
        <w:contextualSpacing/>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三</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管理机构内控制度及投资运作机制</w:t>
      </w:r>
    </w:p>
    <w:p w14:paraId="5691A5C8">
      <w:pPr>
        <w:spacing w:line="54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管理机构目前的内部</w:t>
      </w:r>
      <w:r>
        <w:rPr>
          <w:rFonts w:hint="eastAsia" w:ascii="仿宋_GB2312" w:hAnsi="仿宋_GB2312" w:eastAsia="仿宋_GB2312" w:cs="仿宋_GB2312"/>
          <w:sz w:val="32"/>
          <w:szCs w:val="32"/>
        </w:rPr>
        <w:t>风险控制</w:t>
      </w:r>
      <w:r>
        <w:rPr>
          <w:rFonts w:hint="eastAsia" w:ascii="仿宋_GB2312" w:hAnsi="仿宋_GB2312" w:eastAsia="仿宋_GB2312" w:cs="仿宋_GB2312"/>
          <w:sz w:val="32"/>
          <w:szCs w:val="32"/>
          <w:lang w:val="en-US" w:eastAsia="zh-CN"/>
        </w:rPr>
        <w:t>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财务管理制度</w:t>
      </w:r>
      <w:r>
        <w:rPr>
          <w:rFonts w:hint="eastAsia" w:ascii="仿宋_GB2312" w:hAnsi="仿宋_GB2312" w:eastAsia="仿宋_GB2312" w:cs="仿宋_GB2312"/>
          <w:sz w:val="32"/>
          <w:szCs w:val="32"/>
          <w:lang w:eastAsia="zh-CN"/>
        </w:rPr>
        <w:t>、投资管理制度、</w:t>
      </w:r>
      <w:r>
        <w:rPr>
          <w:rFonts w:hint="eastAsia" w:ascii="仿宋_GB2312" w:hAnsi="仿宋_GB2312" w:eastAsia="仿宋_GB2312" w:cs="仿宋_GB2312"/>
          <w:sz w:val="32"/>
          <w:szCs w:val="32"/>
        </w:rPr>
        <w:t>投资决策程序</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0DF961C4">
      <w:pPr>
        <w:spacing w:line="540" w:lineRule="exact"/>
        <w:ind w:left="638" w:leftChars="304" w:firstLine="0" w:firstLineChars="0"/>
        <w:contextualSpacing/>
        <w:rPr>
          <w:rFonts w:ascii="楷体" w:hAnsi="楷体" w:eastAsia="楷体"/>
          <w:color w:val="000000" w:themeColor="text1"/>
          <w:sz w:val="32"/>
          <w:szCs w:val="32"/>
          <w14:textFill>
            <w14:solidFill>
              <w14:schemeClr w14:val="tx1"/>
            </w14:solidFill>
          </w14:textFill>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楷体" w:hAnsi="楷体" w:eastAsia="楷体"/>
          <w:color w:val="000000" w:themeColor="text1"/>
          <w:sz w:val="32"/>
          <w:szCs w:val="32"/>
          <w14:textFill>
            <w14:solidFill>
              <w14:schemeClr w14:val="tx1"/>
            </w14:solidFill>
          </w14:textFill>
        </w:rPr>
        <w:t>）管理机构的过往经营业绩情况</w:t>
      </w:r>
    </w:p>
    <w:p w14:paraId="70ACB391">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1.管理过的基金业绩</w:t>
      </w:r>
    </w:p>
    <w:p w14:paraId="5B5BEBB3">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（1）管理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过</w:t>
      </w:r>
      <w:r>
        <w:rPr>
          <w:rFonts w:hint="eastAsia" w:ascii="仿宋_GB2312" w:hAnsi="仿宋_GB2312" w:eastAsia="仿宋_GB2312" w:cs="仿宋_GB2312"/>
          <w:color w:val="000000" w:themeColor="text1"/>
          <w:sz w:val="32"/>
          <w:szCs w:val="32"/>
          <w14:textFill>
            <w14:solidFill>
              <w14:schemeClr w14:val="tx1"/>
            </w14:solidFill>
          </w14:textFill>
        </w:rPr>
        <w:t>的经中国证券投资基金业协会备案的私募</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股权</w:t>
      </w:r>
      <w:r>
        <w:rPr>
          <w:rFonts w:hint="eastAsia" w:ascii="仿宋_GB2312" w:hAnsi="仿宋_GB2312" w:eastAsia="仿宋_GB2312" w:cs="仿宋_GB2312"/>
          <w:color w:val="000000" w:themeColor="text1"/>
          <w:sz w:val="32"/>
          <w:szCs w:val="32"/>
          <w14:textFill>
            <w14:solidFill>
              <w14:schemeClr w14:val="tx1"/>
            </w14:solidFill>
          </w14:textFill>
        </w:rPr>
        <w:t>投资基金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情况</w:t>
      </w:r>
      <w:r>
        <w:rPr>
          <w:rFonts w:hint="eastAsia" w:ascii="仿宋_GB2312" w:hAnsi="仿宋_GB2312" w:eastAsia="仿宋_GB2312" w:cs="仿宋_GB2312"/>
          <w:color w:val="000000" w:themeColor="text1"/>
          <w:sz w:val="32"/>
          <w:szCs w:val="32"/>
          <w14:textFill>
            <w14:solidFill>
              <w14:schemeClr w14:val="tx1"/>
            </w14:solidFill>
          </w14:textFill>
        </w:rPr>
        <w:t>，案例概况包括基金名称、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基金数量、</w:t>
      </w:r>
      <w:r>
        <w:rPr>
          <w:rFonts w:hint="eastAsia" w:ascii="仿宋_GB2312" w:hAnsi="仿宋_GB2312" w:eastAsia="仿宋_GB2312" w:cs="仿宋_GB2312"/>
          <w:color w:val="000000" w:themeColor="text1"/>
          <w:sz w:val="32"/>
          <w:szCs w:val="32"/>
          <w14:textFill>
            <w14:solidFill>
              <w14:schemeClr w14:val="tx1"/>
            </w14:solidFill>
          </w14:textFill>
        </w:rPr>
        <w:t>认缴规模、实缴规模、中基协备案编码、投资进度等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2C256564">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（2）（与前述（1）可重合）管理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过</w:t>
      </w:r>
      <w:r>
        <w:rPr>
          <w:rFonts w:hint="eastAsia" w:ascii="仿宋_GB2312" w:hAnsi="仿宋_GB2312" w:eastAsia="仿宋_GB2312" w:cs="仿宋_GB2312"/>
          <w:color w:val="000000" w:themeColor="text1"/>
          <w:sz w:val="32"/>
          <w:szCs w:val="32"/>
          <w14:textFill>
            <w14:solidFill>
              <w14:schemeClr w14:val="tx1"/>
            </w14:solidFill>
          </w14:textFill>
        </w:rPr>
        <w:t>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国资</w:t>
      </w:r>
      <w:r>
        <w:rPr>
          <w:rFonts w:hint="eastAsia" w:ascii="仿宋_GB2312" w:hAnsi="仿宋_GB2312" w:eastAsia="仿宋_GB2312" w:cs="仿宋_GB2312"/>
          <w:color w:val="000000" w:themeColor="text1"/>
          <w:sz w:val="32"/>
          <w:szCs w:val="32"/>
          <w14:textFill>
            <w14:solidFill>
              <w14:schemeClr w14:val="tx1"/>
            </w14:solidFill>
          </w14:textFill>
        </w:rPr>
        <w:t>基金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情况</w:t>
      </w:r>
      <w:r>
        <w:rPr>
          <w:rFonts w:hint="eastAsia" w:ascii="仿宋_GB2312" w:hAnsi="仿宋_GB2312" w:eastAsia="仿宋_GB2312" w:cs="仿宋_GB2312"/>
          <w:color w:val="000000" w:themeColor="text1"/>
          <w:sz w:val="32"/>
          <w:szCs w:val="32"/>
          <w14:textFill>
            <w14:solidFill>
              <w14:schemeClr w14:val="tx1"/>
            </w14:solidFill>
          </w14:textFill>
        </w:rPr>
        <w:t>，案例概况包括基金名称、认缴规模、实缴规模及投资进度等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48A8B9D1">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themeColor="text1"/>
          <w:sz w:val="32"/>
          <w:szCs w:val="32"/>
          <w14:textFill>
            <w14:solidFill>
              <w14:schemeClr w14:val="tx1"/>
            </w14:solidFill>
          </w14:textFill>
        </w:rPr>
        <w:t>2.所投企业情况</w:t>
      </w:r>
    </w:p>
    <w:p w14:paraId="0E51AFE5">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（1）所</w:t>
      </w:r>
      <w:r>
        <w:rPr>
          <w:rFonts w:hint="eastAsia" w:ascii="仿宋_GB2312" w:hAnsi="仿宋_GB2312" w:eastAsia="仿宋_GB2312" w:cs="仿宋_GB2312"/>
          <w:sz w:val="32"/>
          <w:szCs w:val="32"/>
        </w:rPr>
        <w:t>投企业中有实现在A股（含在会审批项目）或境外成功上市</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案例，且成功投</w:t>
      </w:r>
      <w:r>
        <w:rPr>
          <w:rFonts w:hint="eastAsia" w:ascii="仿宋_GB2312" w:hAnsi="仿宋_GB2312" w:eastAsia="仿宋_GB2312" w:cs="仿宋_GB2312"/>
          <w:sz w:val="32"/>
          <w:szCs w:val="32"/>
          <w:lang w:val="en-US" w:eastAsia="zh-CN"/>
        </w:rPr>
        <w:t>资科技创新领域科创企业</w:t>
      </w:r>
      <w:r>
        <w:rPr>
          <w:rFonts w:hint="eastAsia" w:ascii="仿宋_GB2312" w:hAnsi="仿宋_GB2312" w:eastAsia="仿宋_GB2312" w:cs="仿宋_GB2312"/>
          <w:sz w:val="32"/>
          <w:szCs w:val="32"/>
        </w:rPr>
        <w:t>相关项目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案例概况包括企业名称、投资时间、投资金额及上市时间等。</w:t>
      </w:r>
    </w:p>
    <w:p w14:paraId="3410D17B">
      <w:pPr>
        <w:keepNext w:val="0"/>
        <w:keepLines w:val="0"/>
        <w:pageBreakBefore w:val="0"/>
        <w:widowControl/>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为被投企业提供管理咨询、产业链资源对接等服务。</w:t>
      </w:r>
      <w:bookmarkStart w:id="0" w:name="_GoBack"/>
      <w:bookmarkEnd w:id="0"/>
    </w:p>
    <w:p w14:paraId="3CA1B519">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三、其他需出具的材料</w:t>
      </w:r>
    </w:p>
    <w:p w14:paraId="09515C16">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1.申请机构基本情况及有效期内的证明文件（营业执照、中基协备案</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中国人民银行征信系统的企业信用报告（银行版）</w:t>
      </w:r>
      <w:r>
        <w:rPr>
          <w:rFonts w:hint="eastAsia" w:ascii="仿宋_GB2312" w:hAnsi="仿宋_GB2312" w:eastAsia="仿宋_GB2312" w:cs="仿宋_GB2312"/>
          <w:color w:val="000000" w:themeColor="text1"/>
          <w:sz w:val="32"/>
          <w:szCs w:val="32"/>
          <w14:textFill>
            <w14:solidFill>
              <w14:schemeClr w14:val="tx1"/>
            </w14:solidFill>
          </w14:textFill>
        </w:rPr>
        <w:t>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2022E654">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2.管理机构及其董事、监事、高级管理人员及拟设基金管理团队成员在最近三年无重大违法行为的证明文件；管理机构最近三年无明显违反有关政策或以申领财政奖励为目的的政府投资基金投资行为的证明文件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31CDD5CE">
      <w:pPr>
        <w:keepNext w:val="0"/>
        <w:keepLines w:val="0"/>
        <w:pageBreakBefore w:val="0"/>
        <w:widowControl w:val="0"/>
        <w:kinsoku/>
        <w:wordWrap/>
        <w:overflowPunct/>
        <w:topLinePunct w:val="0"/>
        <w:autoSpaceDE/>
        <w:autoSpaceDN/>
        <w:bidi w:val="0"/>
        <w:adjustRightInd/>
        <w:snapToGrid/>
        <w:spacing w:line="540" w:lineRule="exact"/>
        <w:ind w:firstLine="640" w:firstLineChars="200"/>
        <w:contextualSpacing/>
        <w:textAlignment w:val="auto"/>
        <w:rPr>
          <w:rFonts w:hint="eastAsia" w:ascii="仿宋_GB2312" w:hAnsi="仿宋_GB2312" w:eastAsia="仿宋_GB2312" w:cs="仿宋_GB2312"/>
          <w:color w:val="000000" w:themeColor="text1"/>
          <w:sz w:val="32"/>
          <w:szCs w:val="32"/>
          <w14:textFill>
            <w14:solidFill>
              <w14:schemeClr w14:val="tx1"/>
            </w14:solidFill>
          </w14:textFill>
        </w:rPr>
      </w:pPr>
    </w:p>
    <w:sectPr>
      <w:footerReference r:id="rId3" w:type="default"/>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58C2A9-1391-4E46-8D98-1A89B785BE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3ED0BBC-B944-4F3C-AF7E-5113934E3B98}"/>
  </w:font>
  <w:font w:name="方正小标宋简体">
    <w:panose1 w:val="02000000000000000000"/>
    <w:charset w:val="86"/>
    <w:family w:val="auto"/>
    <w:pitch w:val="default"/>
    <w:sig w:usb0="A00002BF" w:usb1="184F6CFA" w:usb2="00000012" w:usb3="00000000" w:csb0="00040001" w:csb1="00000000"/>
    <w:embedRegular r:id="rId3" w:fontKey="{A61ECBD1-01DC-473D-881D-0E9F9EAFA2CE}"/>
  </w:font>
  <w:font w:name="仿宋">
    <w:panose1 w:val="02010609060101010101"/>
    <w:charset w:val="86"/>
    <w:family w:val="auto"/>
    <w:pitch w:val="default"/>
    <w:sig w:usb0="800002BF" w:usb1="38CF7CFA" w:usb2="00000016" w:usb3="00000000" w:csb0="00040001" w:csb1="00000000"/>
    <w:embedRegular r:id="rId4" w:fontKey="{24739566-5681-4BDB-8834-0DC15159F13B}"/>
  </w:font>
  <w:font w:name="仿宋_GB2312">
    <w:panose1 w:val="02010609030101010101"/>
    <w:charset w:val="86"/>
    <w:family w:val="auto"/>
    <w:pitch w:val="default"/>
    <w:sig w:usb0="00000001" w:usb1="080E0000" w:usb2="00000000" w:usb3="00000000" w:csb0="00040000" w:csb1="00000000"/>
    <w:embedRegular r:id="rId5" w:fontKey="{6C1EC88F-9054-475A-9FBD-AF09EE8B0818}"/>
  </w:font>
  <w:font w:name="楷体">
    <w:panose1 w:val="02010609060101010101"/>
    <w:charset w:val="86"/>
    <w:family w:val="auto"/>
    <w:pitch w:val="default"/>
    <w:sig w:usb0="800002BF" w:usb1="38CF7CFA" w:usb2="00000016" w:usb3="00000000" w:csb0="00040001" w:csb1="00000000"/>
    <w:embedRegular r:id="rId6" w:fontKey="{D0D146C9-A7D2-441B-96FD-4AB11D5D073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35E7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2506C">
                          <w:pPr>
                            <w:pStyle w:val="4"/>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02506C">
                    <w:pPr>
                      <w:pStyle w:val="4"/>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0ZjJhM2ViM2Q2YjdkZWZjMGMxMzA5YjhlNDdhNTIifQ=="/>
  </w:docVars>
  <w:rsids>
    <w:rsidRoot w:val="002E1DFE"/>
    <w:rsid w:val="00010D8E"/>
    <w:rsid w:val="0001345D"/>
    <w:rsid w:val="0003086D"/>
    <w:rsid w:val="00083222"/>
    <w:rsid w:val="0009548E"/>
    <w:rsid w:val="000A2CEB"/>
    <w:rsid w:val="000B39C9"/>
    <w:rsid w:val="000B5C60"/>
    <w:rsid w:val="000B62E7"/>
    <w:rsid w:val="000C7B38"/>
    <w:rsid w:val="000E18F9"/>
    <w:rsid w:val="000F34E6"/>
    <w:rsid w:val="00113D85"/>
    <w:rsid w:val="00124D0C"/>
    <w:rsid w:val="0015143F"/>
    <w:rsid w:val="00154CA7"/>
    <w:rsid w:val="001660E9"/>
    <w:rsid w:val="001776AA"/>
    <w:rsid w:val="0019185A"/>
    <w:rsid w:val="001B0B08"/>
    <w:rsid w:val="001F2160"/>
    <w:rsid w:val="002134B3"/>
    <w:rsid w:val="002236A7"/>
    <w:rsid w:val="002307AC"/>
    <w:rsid w:val="00233878"/>
    <w:rsid w:val="00233928"/>
    <w:rsid w:val="00235083"/>
    <w:rsid w:val="00236F09"/>
    <w:rsid w:val="002564F9"/>
    <w:rsid w:val="002620C7"/>
    <w:rsid w:val="002C5EBC"/>
    <w:rsid w:val="002D165A"/>
    <w:rsid w:val="002E1DFE"/>
    <w:rsid w:val="002F1A10"/>
    <w:rsid w:val="002F6C26"/>
    <w:rsid w:val="00311544"/>
    <w:rsid w:val="00312F1E"/>
    <w:rsid w:val="00321101"/>
    <w:rsid w:val="00337589"/>
    <w:rsid w:val="0034138A"/>
    <w:rsid w:val="00377AC6"/>
    <w:rsid w:val="003C7E9F"/>
    <w:rsid w:val="003E414C"/>
    <w:rsid w:val="003E4FC6"/>
    <w:rsid w:val="003F759F"/>
    <w:rsid w:val="004027F8"/>
    <w:rsid w:val="00410760"/>
    <w:rsid w:val="004445AE"/>
    <w:rsid w:val="0044530F"/>
    <w:rsid w:val="00470B3C"/>
    <w:rsid w:val="004978EB"/>
    <w:rsid w:val="004A5ABB"/>
    <w:rsid w:val="004C42FE"/>
    <w:rsid w:val="004F1756"/>
    <w:rsid w:val="0050558A"/>
    <w:rsid w:val="00531C21"/>
    <w:rsid w:val="00545513"/>
    <w:rsid w:val="00547229"/>
    <w:rsid w:val="005616BD"/>
    <w:rsid w:val="00575E4B"/>
    <w:rsid w:val="005B014F"/>
    <w:rsid w:val="005B198F"/>
    <w:rsid w:val="005B7BEE"/>
    <w:rsid w:val="005D1F6B"/>
    <w:rsid w:val="005F34C3"/>
    <w:rsid w:val="005F72B9"/>
    <w:rsid w:val="00603C07"/>
    <w:rsid w:val="0060403B"/>
    <w:rsid w:val="00650146"/>
    <w:rsid w:val="00673AC2"/>
    <w:rsid w:val="00694D32"/>
    <w:rsid w:val="006C178B"/>
    <w:rsid w:val="007323CE"/>
    <w:rsid w:val="00747D38"/>
    <w:rsid w:val="007A7207"/>
    <w:rsid w:val="007C2C72"/>
    <w:rsid w:val="007E5EBA"/>
    <w:rsid w:val="0080074B"/>
    <w:rsid w:val="008370BF"/>
    <w:rsid w:val="0085733C"/>
    <w:rsid w:val="008658F6"/>
    <w:rsid w:val="00873EB5"/>
    <w:rsid w:val="008740D8"/>
    <w:rsid w:val="00876A4E"/>
    <w:rsid w:val="008816C1"/>
    <w:rsid w:val="008B09F6"/>
    <w:rsid w:val="008B49BB"/>
    <w:rsid w:val="008B5C57"/>
    <w:rsid w:val="008C1229"/>
    <w:rsid w:val="008E0DB9"/>
    <w:rsid w:val="008E1483"/>
    <w:rsid w:val="008F195B"/>
    <w:rsid w:val="00920545"/>
    <w:rsid w:val="00943FEB"/>
    <w:rsid w:val="00946AD8"/>
    <w:rsid w:val="009724CE"/>
    <w:rsid w:val="009910B6"/>
    <w:rsid w:val="009A21E0"/>
    <w:rsid w:val="009B2FF3"/>
    <w:rsid w:val="009F76D1"/>
    <w:rsid w:val="00A12264"/>
    <w:rsid w:val="00A21812"/>
    <w:rsid w:val="00A6488C"/>
    <w:rsid w:val="00A649B7"/>
    <w:rsid w:val="00AB0799"/>
    <w:rsid w:val="00AB6477"/>
    <w:rsid w:val="00AD77F6"/>
    <w:rsid w:val="00AE2E0E"/>
    <w:rsid w:val="00AF62E0"/>
    <w:rsid w:val="00B12AD6"/>
    <w:rsid w:val="00B55F78"/>
    <w:rsid w:val="00B71685"/>
    <w:rsid w:val="00B81B77"/>
    <w:rsid w:val="00B96E3F"/>
    <w:rsid w:val="00B971EC"/>
    <w:rsid w:val="00BE38F7"/>
    <w:rsid w:val="00BF0988"/>
    <w:rsid w:val="00C658FB"/>
    <w:rsid w:val="00C86ABA"/>
    <w:rsid w:val="00CE796E"/>
    <w:rsid w:val="00CF6BE1"/>
    <w:rsid w:val="00D17566"/>
    <w:rsid w:val="00D2040A"/>
    <w:rsid w:val="00D20786"/>
    <w:rsid w:val="00D4102C"/>
    <w:rsid w:val="00D5387B"/>
    <w:rsid w:val="00D560BD"/>
    <w:rsid w:val="00D67ECF"/>
    <w:rsid w:val="00DA0DB4"/>
    <w:rsid w:val="00DA1B64"/>
    <w:rsid w:val="00DC65B6"/>
    <w:rsid w:val="00DD2CF6"/>
    <w:rsid w:val="00DE26D4"/>
    <w:rsid w:val="00E10660"/>
    <w:rsid w:val="00E11374"/>
    <w:rsid w:val="00E11376"/>
    <w:rsid w:val="00E14879"/>
    <w:rsid w:val="00E15470"/>
    <w:rsid w:val="00E24C05"/>
    <w:rsid w:val="00E261B6"/>
    <w:rsid w:val="00E66648"/>
    <w:rsid w:val="00E9702E"/>
    <w:rsid w:val="00EC136C"/>
    <w:rsid w:val="00F00580"/>
    <w:rsid w:val="00F016FD"/>
    <w:rsid w:val="00F12EA4"/>
    <w:rsid w:val="00F15819"/>
    <w:rsid w:val="00F20069"/>
    <w:rsid w:val="00F30820"/>
    <w:rsid w:val="00F343F3"/>
    <w:rsid w:val="00F45D11"/>
    <w:rsid w:val="00F66DF2"/>
    <w:rsid w:val="00F725DB"/>
    <w:rsid w:val="00F869D8"/>
    <w:rsid w:val="00F91007"/>
    <w:rsid w:val="00FB3379"/>
    <w:rsid w:val="00FC6F78"/>
    <w:rsid w:val="0CE14413"/>
    <w:rsid w:val="0FDC6ED9"/>
    <w:rsid w:val="111476A4"/>
    <w:rsid w:val="1B8151F1"/>
    <w:rsid w:val="1D656F90"/>
    <w:rsid w:val="20D7050A"/>
    <w:rsid w:val="28E15521"/>
    <w:rsid w:val="304E094E"/>
    <w:rsid w:val="32A23532"/>
    <w:rsid w:val="354767E5"/>
    <w:rsid w:val="418036D2"/>
    <w:rsid w:val="4A4A7A52"/>
    <w:rsid w:val="4B7C13AE"/>
    <w:rsid w:val="4C3A6B73"/>
    <w:rsid w:val="4C54594E"/>
    <w:rsid w:val="51F6353C"/>
    <w:rsid w:val="5B3F7D02"/>
    <w:rsid w:val="605E0C2A"/>
    <w:rsid w:val="65FA31A3"/>
    <w:rsid w:val="660D1128"/>
    <w:rsid w:val="66976C44"/>
    <w:rsid w:val="69B75E9E"/>
    <w:rsid w:val="6B2B3DFF"/>
    <w:rsid w:val="750A47B2"/>
    <w:rsid w:val="7A7D49C6"/>
    <w:rsid w:val="7E7F64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semiHidden/>
    <w:unhideWhenUsed/>
    <w:qFormat/>
    <w:uiPriority w:val="99"/>
    <w:rPr>
      <w:sz w:val="21"/>
      <w:szCs w:val="21"/>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character" w:customStyle="1" w:styleId="13">
    <w:name w:val="批注文字 Char"/>
    <w:basedOn w:val="9"/>
    <w:link w:val="2"/>
    <w:semiHidden/>
    <w:qFormat/>
    <w:uiPriority w:val="99"/>
  </w:style>
  <w:style w:type="character" w:customStyle="1" w:styleId="14">
    <w:name w:val="批注主题 Char"/>
    <w:basedOn w:val="13"/>
    <w:link w:val="6"/>
    <w:semiHidden/>
    <w:qFormat/>
    <w:uiPriority w:val="99"/>
    <w:rPr>
      <w:b/>
      <w:bCs/>
    </w:rPr>
  </w:style>
  <w:style w:type="character" w:customStyle="1" w:styleId="15">
    <w:name w:val="批注框文本 Char"/>
    <w:basedOn w:val="9"/>
    <w:link w:val="3"/>
    <w:semiHidden/>
    <w:qFormat/>
    <w:uiPriority w:val="99"/>
    <w:rPr>
      <w:sz w:val="18"/>
      <w:szCs w:val="18"/>
    </w:rPr>
  </w:style>
  <w:style w:type="paragraph" w:customStyle="1" w:styleId="16">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596F43-F06B-4A10-BD01-139E7C724EC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850</Words>
  <Characters>860</Characters>
  <Lines>6</Lines>
  <Paragraphs>1</Paragraphs>
  <TotalTime>11</TotalTime>
  <ScaleCrop>false</ScaleCrop>
  <LinksUpToDate>false</LinksUpToDate>
  <CharactersWithSpaces>860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2022-09-20T10:15:00Z</dcterms:created>
  <dc:creator>lenovo-000001</dc:creator>
  <cp:lastModifiedBy>Lenovo</cp:lastModifiedBy>
  <cp:lastPrinted>2022-10-11T09:10:00Z</cp:lastPrinted>
  <dcterms:modified xsi:type="dcterms:W3CDTF">2026-09-30T02:32:35Z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F4896B2BFEE544E286FE8047ABB4293B_13</vt:lpwstr>
  </property>
  <property fmtid="{D5CDD505-2E9C-101B-9397-08002B2CF9AE}" pid="4" name="KSOTemplateDocerSaveRecord">
    <vt:lpwstr>eyJoZGlkIjoiMmJlZDI5OTk2MTYzOWIyZGRkZmFhM2E0YmY4ZmJlMGEiLCJ1c2VySWQiOiIxMTU4ODgyNjQyIn0=</vt:lpwstr>
  </property>
</Properties>
</file>